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74" w:rsidRDefault="00197DA0" w:rsidP="00374974">
      <w:pPr>
        <w:keepNext/>
        <w:autoSpaceDE w:val="0"/>
        <w:autoSpaceDN w:val="0"/>
        <w:adjustRightInd w:val="0"/>
        <w:spacing w:after="480" w:line="240" w:lineRule="auto"/>
        <w:jc w:val="center"/>
        <w:rPr>
          <w:rFonts w:ascii="Times New Roman" w:eastAsia="Times New Roman" w:hAnsi="Times New Roman" w:cs="Times New Roman"/>
          <w:color w:val="000000"/>
          <w:shd w:val="clear" w:color="auto" w:fill="FFFFFF"/>
          <w:lang w:eastAsia="pl-PL"/>
        </w:rPr>
      </w:pPr>
      <w:bookmarkStart w:id="0" w:name="_GoBack"/>
      <w:bookmarkEnd w:id="0"/>
      <w:r>
        <w:rPr>
          <w:rFonts w:ascii="Times New Roman" w:eastAsia="Times New Roman" w:hAnsi="Times New Roman" w:cs="Times New Roman"/>
          <w:b/>
          <w:bCs/>
          <w:color w:val="000000"/>
          <w:shd w:val="clear" w:color="auto" w:fill="FFFFFF"/>
          <w:lang w:eastAsia="pl-PL"/>
        </w:rPr>
        <w:t xml:space="preserve">   </w:t>
      </w:r>
      <w:r w:rsidR="00374974">
        <w:rPr>
          <w:rFonts w:ascii="Times New Roman" w:eastAsia="Times New Roman" w:hAnsi="Times New Roman" w:cs="Times New Roman"/>
          <w:b/>
          <w:bCs/>
          <w:color w:val="000000"/>
          <w:shd w:val="clear" w:color="auto" w:fill="FFFFFF"/>
          <w:lang w:eastAsia="pl-PL"/>
        </w:rPr>
        <w:t>OGŁOSZENIE O</w:t>
      </w:r>
      <w:r w:rsidR="008313B3">
        <w:rPr>
          <w:rFonts w:ascii="Times New Roman" w:eastAsia="Times New Roman" w:hAnsi="Times New Roman" w:cs="Times New Roman"/>
          <w:b/>
          <w:bCs/>
          <w:color w:val="000000"/>
          <w:shd w:val="clear" w:color="auto" w:fill="FFFFFF"/>
          <w:lang w:eastAsia="pl-PL"/>
        </w:rPr>
        <w:t xml:space="preserve"> IV</w:t>
      </w:r>
      <w:r w:rsidR="00374974">
        <w:rPr>
          <w:rFonts w:ascii="Times New Roman" w:eastAsia="Times New Roman" w:hAnsi="Times New Roman" w:cs="Times New Roman"/>
          <w:b/>
          <w:bCs/>
          <w:color w:val="000000"/>
          <w:shd w:val="clear" w:color="auto" w:fill="FFFFFF"/>
          <w:lang w:eastAsia="pl-PL"/>
        </w:rPr>
        <w:t> PRZETARGU</w:t>
      </w:r>
      <w:r w:rsidR="00374974">
        <w:rPr>
          <w:rFonts w:ascii="Times New Roman" w:eastAsia="Times New Roman" w:hAnsi="Times New Roman" w:cs="Times New Roman"/>
          <w:b/>
          <w:bCs/>
          <w:color w:val="000000"/>
          <w:shd w:val="clear" w:color="auto" w:fill="FFFFFF"/>
          <w:lang w:eastAsia="pl-PL"/>
        </w:rPr>
        <w:br/>
        <w:t>Wójt Gminy Bestwina</w:t>
      </w:r>
      <w:r w:rsidR="00374974">
        <w:rPr>
          <w:rFonts w:ascii="Times New Roman" w:eastAsia="Times New Roman" w:hAnsi="Times New Roman" w:cs="Times New Roman"/>
          <w:b/>
          <w:bCs/>
          <w:color w:val="000000"/>
          <w:shd w:val="clear" w:color="auto" w:fill="FFFFFF"/>
          <w:lang w:eastAsia="pl-PL"/>
        </w:rPr>
        <w:br/>
        <w:t>ogłasza:</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eastAsia="pl-PL"/>
        </w:rPr>
      </w:pPr>
      <w:r>
        <w:rPr>
          <w:rFonts w:ascii="Times New Roman" w:eastAsia="Times New Roman" w:hAnsi="Times New Roman" w:cs="Times New Roman"/>
          <w:b/>
          <w:bCs/>
          <w:color w:val="000000"/>
          <w:sz w:val="24"/>
          <w:szCs w:val="24"/>
          <w:shd w:val="clear" w:color="auto" w:fill="FFFFFF"/>
          <w:lang w:eastAsia="pl-PL"/>
        </w:rPr>
        <w:t>IV przetarg ustny nieograniczony na sprzedaż nieruchomości gruntowej, składającej się z działki oznaczonej nr 306/7, stanowiącej własność Gminy Bestwina, położonej w Kaniowie przy ulicy Głębokie .</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l-PL"/>
        </w:rPr>
      </w:pPr>
      <w:r>
        <w:rPr>
          <w:rFonts w:ascii="Times New Roman" w:eastAsia="Times New Roman" w:hAnsi="Times New Roman" w:cs="Times New Roman"/>
          <w:bCs/>
          <w:color w:val="000000"/>
          <w:sz w:val="24"/>
          <w:szCs w:val="24"/>
          <w:shd w:val="clear" w:color="auto" w:fill="FFFFFF"/>
          <w:lang w:eastAsia="pl-PL"/>
        </w:rPr>
        <w:t>I przetarg ustny nieograniczony na sprzedaż tej nieruchomości odbył się w dniu 31 stycznia 2022r. o godz. 10</w:t>
      </w:r>
      <w:r>
        <w:rPr>
          <w:rFonts w:ascii="Times New Roman" w:eastAsia="Times New Roman" w:hAnsi="Times New Roman" w:cs="Times New Roman"/>
          <w:bCs/>
          <w:color w:val="000000"/>
          <w:sz w:val="24"/>
          <w:szCs w:val="24"/>
          <w:shd w:val="clear" w:color="auto" w:fill="FFFFFF"/>
          <w:vertAlign w:val="superscript"/>
          <w:lang w:eastAsia="pl-PL"/>
        </w:rPr>
        <w:t>00</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l-PL"/>
        </w:rPr>
      </w:pPr>
      <w:r>
        <w:rPr>
          <w:rFonts w:ascii="Times New Roman" w:eastAsia="Times New Roman" w:hAnsi="Times New Roman" w:cs="Times New Roman"/>
          <w:bCs/>
          <w:color w:val="000000"/>
          <w:sz w:val="24"/>
          <w:szCs w:val="24"/>
          <w:shd w:val="clear" w:color="auto" w:fill="FFFFFF"/>
          <w:lang w:eastAsia="pl-PL"/>
        </w:rPr>
        <w:t>II przetarg ustny nieograniczony na sprzedaż tej nieruchomości odbył się w dniu 4 kwietnia 2022r. o godz. 9</w:t>
      </w:r>
      <w:r>
        <w:rPr>
          <w:rFonts w:ascii="Times New Roman" w:eastAsia="Times New Roman" w:hAnsi="Times New Roman" w:cs="Times New Roman"/>
          <w:bCs/>
          <w:color w:val="000000"/>
          <w:sz w:val="24"/>
          <w:szCs w:val="24"/>
          <w:shd w:val="clear" w:color="auto" w:fill="FFFFFF"/>
          <w:vertAlign w:val="superscript"/>
          <w:lang w:eastAsia="pl-PL"/>
        </w:rPr>
        <w:t>00</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l-PL"/>
        </w:rPr>
      </w:pPr>
      <w:r>
        <w:rPr>
          <w:rFonts w:ascii="Times New Roman" w:eastAsia="Times New Roman" w:hAnsi="Times New Roman" w:cs="Times New Roman"/>
          <w:bCs/>
          <w:color w:val="000000"/>
          <w:sz w:val="24"/>
          <w:szCs w:val="24"/>
          <w:shd w:val="clear" w:color="auto" w:fill="FFFFFF"/>
          <w:lang w:eastAsia="pl-PL"/>
        </w:rPr>
        <w:t>III przetarg ustny nieograniczony na sprzedaż tej nieruchomości odbył się w dniu 11 lipca 2022r. o godz. 9</w:t>
      </w:r>
      <w:r>
        <w:rPr>
          <w:rFonts w:ascii="Times New Roman" w:eastAsia="Times New Roman" w:hAnsi="Times New Roman" w:cs="Times New Roman"/>
          <w:bCs/>
          <w:color w:val="000000"/>
          <w:sz w:val="24"/>
          <w:szCs w:val="24"/>
          <w:shd w:val="clear" w:color="auto" w:fill="FFFFFF"/>
          <w:vertAlign w:val="superscript"/>
          <w:lang w:eastAsia="pl-PL"/>
        </w:rPr>
        <w:t>00</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74974" w:rsidRDefault="00374974" w:rsidP="00374974">
      <w:pPr>
        <w:pStyle w:val="Akapitzlist"/>
        <w:numPr>
          <w:ilvl w:val="0"/>
          <w:numId w:val="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Nieruchomość ta zapisana jest w księdze wieczystej prowadzonej przez Sąd Rejonowy w Pszczynie pod nr KA1P/00055622/3.</w:t>
      </w:r>
    </w:p>
    <w:p w:rsidR="00374974" w:rsidRDefault="00374974" w:rsidP="00374974">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2. </w:t>
      </w:r>
      <w:r>
        <w:rPr>
          <w:rFonts w:ascii="Times New Roman" w:eastAsia="Times New Roman" w:hAnsi="Times New Roman" w:cs="Times New Roman"/>
          <w:color w:val="000000"/>
          <w:sz w:val="24"/>
          <w:szCs w:val="24"/>
          <w:shd w:val="clear" w:color="auto" w:fill="FFFFFF"/>
          <w:lang w:eastAsia="pl-PL"/>
        </w:rPr>
        <w:tab/>
        <w:t xml:space="preserve">Zgodnie z ewidencją gruntów i budynków nieruchomość tę stanowi działka oznaczona nr </w:t>
      </w:r>
      <w:r>
        <w:rPr>
          <w:rFonts w:ascii="Times New Roman" w:eastAsia="Times New Roman" w:hAnsi="Times New Roman" w:cs="Times New Roman"/>
          <w:b/>
          <w:bCs/>
          <w:color w:val="000000"/>
          <w:sz w:val="24"/>
          <w:szCs w:val="24"/>
          <w:shd w:val="clear" w:color="auto" w:fill="FFFFFF"/>
          <w:lang w:eastAsia="pl-PL"/>
        </w:rPr>
        <w:t xml:space="preserve">306/7 </w:t>
      </w:r>
      <w:r>
        <w:rPr>
          <w:rFonts w:ascii="Times New Roman" w:eastAsia="Times New Roman" w:hAnsi="Times New Roman" w:cs="Times New Roman"/>
          <w:color w:val="000000"/>
          <w:sz w:val="24"/>
          <w:szCs w:val="24"/>
          <w:shd w:val="clear" w:color="auto" w:fill="FFFFFF"/>
          <w:lang w:eastAsia="pl-PL"/>
        </w:rPr>
        <w:t>o pow. 0,2700 ha</w:t>
      </w:r>
      <w:r>
        <w:rPr>
          <w:rFonts w:ascii="Times New Roman" w:eastAsia="Times New Roman" w:hAnsi="Times New Roman" w:cs="Times New Roman"/>
          <w:b/>
          <w:bCs/>
          <w:color w:val="000000"/>
          <w:sz w:val="24"/>
          <w:szCs w:val="24"/>
          <w:shd w:val="clear" w:color="auto" w:fill="FFFFFF"/>
          <w:lang w:eastAsia="pl-PL"/>
        </w:rPr>
        <w:t xml:space="preserve"> </w:t>
      </w:r>
      <w:r>
        <w:rPr>
          <w:rFonts w:ascii="Times New Roman" w:eastAsia="Times New Roman" w:hAnsi="Times New Roman" w:cs="Times New Roman"/>
          <w:color w:val="000000"/>
          <w:sz w:val="24"/>
          <w:szCs w:val="24"/>
          <w:shd w:val="clear" w:color="auto" w:fill="FFFFFF"/>
          <w:lang w:eastAsia="pl-PL"/>
        </w:rPr>
        <w:t xml:space="preserve">(R </w:t>
      </w:r>
      <w:proofErr w:type="spellStart"/>
      <w:r>
        <w:rPr>
          <w:rFonts w:ascii="Times New Roman" w:eastAsia="Times New Roman" w:hAnsi="Times New Roman" w:cs="Times New Roman"/>
          <w:color w:val="000000"/>
          <w:sz w:val="24"/>
          <w:szCs w:val="24"/>
          <w:shd w:val="clear" w:color="auto" w:fill="FFFFFF"/>
          <w:lang w:eastAsia="pl-PL"/>
        </w:rPr>
        <w:t>IVa</w:t>
      </w:r>
      <w:proofErr w:type="spellEnd"/>
      <w:r>
        <w:rPr>
          <w:rFonts w:ascii="Times New Roman" w:eastAsia="Times New Roman" w:hAnsi="Times New Roman" w:cs="Times New Roman"/>
          <w:color w:val="000000"/>
          <w:sz w:val="24"/>
          <w:szCs w:val="24"/>
          <w:shd w:val="clear" w:color="auto" w:fill="FFFFFF"/>
          <w:lang w:eastAsia="pl-PL"/>
        </w:rPr>
        <w:t>), obręb Kaniów.</w:t>
      </w:r>
    </w:p>
    <w:p w:rsidR="00374974" w:rsidRDefault="00374974" w:rsidP="00374974">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3. </w:t>
      </w:r>
      <w:r>
        <w:rPr>
          <w:rFonts w:ascii="Times New Roman" w:eastAsia="Times New Roman" w:hAnsi="Times New Roman" w:cs="Times New Roman"/>
          <w:color w:val="000000"/>
          <w:sz w:val="24"/>
          <w:szCs w:val="24"/>
          <w:shd w:val="clear" w:color="auto" w:fill="FFFFFF"/>
          <w:lang w:eastAsia="pl-PL"/>
        </w:rPr>
        <w:tab/>
        <w:t xml:space="preserve">Działka nr 306/7 posiada kształt czworoboku. Teren działki jest płaski, wysokością zrównany z ul. Głębokie i nieruchomościami sąsiednimi. Porośnięta jest roślinnością trawiastą. Działka nie jest uzbrojona. Linia energetyczna, wodociąg i gazociąg znajdują się w przyległej ulicy w odległości do kilku metrów od granicy południowej działki. Sąsiedztwo działki od strony zachodniej stanowi nieruchomość zabudowana budynkiem mieszkalnym jednorodzinnym oraz działki niezabudowane, przeznaczone pod zabudowę mieszkaniową jednorodzinną. Od strony północnej i wschodniej sąsiedztwo stanowią niezabudowane tereny rolnicze. </w:t>
      </w:r>
    </w:p>
    <w:p w:rsidR="00374974" w:rsidRDefault="00374974" w:rsidP="00374974">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4. </w:t>
      </w:r>
      <w:r>
        <w:rPr>
          <w:rFonts w:ascii="Times New Roman" w:eastAsia="Times New Roman" w:hAnsi="Times New Roman" w:cs="Times New Roman"/>
          <w:color w:val="000000"/>
          <w:sz w:val="24"/>
          <w:szCs w:val="24"/>
          <w:shd w:val="clear" w:color="auto" w:fill="FFFFFF"/>
          <w:lang w:eastAsia="pl-PL"/>
        </w:rPr>
        <w:tab/>
        <w:t>W miejscowym planie zagospodarowania przestrzennego gminy Bestwina dla sołectwa Kaniów – Etap 3, przyjętego uchwałą Rady Gminy Bestwina z dnia 20 lutego 2020r. Nr XVII/120/2020 (załącznik do uchwały Nr 1) opublikowana w Dzienniku Urzędowym Województwa Śląskiego z dnia 27 lutego 2020r. poz. 1670 nieruchomość ta przeznaczona jest pod:</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tereny dróg publicznych – drogi klasy dojazdowej (symbol 9.KDD)</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tereny zabudowy mieszkaniowej jednorodzinnej (symbol 9.MN)</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strefa zakazu budowy lub rozbudowy obiektów budowlanych, sprzyjających występowaniu zwierząt stwarzających zagrożenie dla ruchu statków powietrznych ze względu na położenie w odległości do 4,0 km od punktu odniesienia lotniska Kaniów</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udokumentowane złoża węgla kamiennego „Dankowice 1” (według numeracji MIDAS – 19450)</w:t>
      </w:r>
    </w:p>
    <w:p w:rsidR="00374974" w:rsidRDefault="00374974" w:rsidP="00374974">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tereny górnicze – Czechowice II</w:t>
      </w:r>
    </w:p>
    <w:p w:rsidR="00374974" w:rsidRDefault="00374974" w:rsidP="00374974">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pl-PL"/>
        </w:rPr>
      </w:pPr>
    </w:p>
    <w:p w:rsidR="00374974" w:rsidRDefault="00374974" w:rsidP="00374974">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5.</w:t>
      </w:r>
      <w:r>
        <w:rPr>
          <w:rFonts w:ascii="Times New Roman" w:eastAsia="Times New Roman" w:hAnsi="Times New Roman" w:cs="Times New Roman"/>
          <w:color w:val="000000"/>
          <w:sz w:val="24"/>
          <w:szCs w:val="24"/>
          <w:shd w:val="clear" w:color="auto" w:fill="FFFFFF"/>
          <w:lang w:eastAsia="pl-PL"/>
        </w:rPr>
        <w:tab/>
        <w:t xml:space="preserve">Cena wywoławcza wynosi </w:t>
      </w:r>
      <w:r>
        <w:rPr>
          <w:rFonts w:ascii="Times New Roman" w:eastAsia="Times New Roman" w:hAnsi="Times New Roman" w:cs="Times New Roman"/>
          <w:b/>
          <w:bCs/>
          <w:color w:val="000000"/>
          <w:sz w:val="24"/>
          <w:szCs w:val="24"/>
          <w:shd w:val="clear" w:color="auto" w:fill="FFFFFF"/>
          <w:lang w:eastAsia="pl-PL"/>
        </w:rPr>
        <w:t xml:space="preserve">163 000,- zł </w:t>
      </w:r>
      <w:r>
        <w:rPr>
          <w:rFonts w:ascii="Times New Roman" w:eastAsia="Times New Roman" w:hAnsi="Times New Roman" w:cs="Times New Roman"/>
          <w:color w:val="000000"/>
          <w:sz w:val="24"/>
          <w:szCs w:val="24"/>
          <w:shd w:val="clear" w:color="auto" w:fill="FFFFFF"/>
          <w:lang w:eastAsia="pl-PL"/>
        </w:rPr>
        <w:t>netto + podatek VAT</w:t>
      </w:r>
    </w:p>
    <w:p w:rsidR="00374974" w:rsidRDefault="00374974" w:rsidP="00374974">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Minimalne postąpienie wynosi nie mniej niż 1% ceny wywoławczej, z zaokrągleniem w górę do pełnych dziesiątek złotych.</w:t>
      </w:r>
    </w:p>
    <w:p w:rsidR="00374974" w:rsidRDefault="00374974" w:rsidP="00374974">
      <w:pPr>
        <w:autoSpaceDE w:val="0"/>
        <w:autoSpaceDN w:val="0"/>
        <w:adjustRightInd w:val="0"/>
        <w:spacing w:after="0" w:line="240" w:lineRule="auto"/>
        <w:ind w:left="360"/>
        <w:jc w:val="both"/>
        <w:rPr>
          <w:rFonts w:ascii="Times New Roman" w:eastAsia="Times New Roman" w:hAnsi="Times New Roman" w:cs="Times New Roman"/>
          <w:color w:val="000000"/>
          <w:sz w:val="24"/>
          <w:szCs w:val="24"/>
          <w:shd w:val="clear" w:color="auto" w:fill="FFFFFF"/>
          <w:lang w:eastAsia="pl-PL"/>
        </w:rPr>
      </w:pPr>
    </w:p>
    <w:p w:rsidR="00374974" w:rsidRDefault="00374974" w:rsidP="00374974">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6.</w:t>
      </w:r>
      <w:r>
        <w:rPr>
          <w:rFonts w:ascii="Times New Roman" w:eastAsia="Times New Roman" w:hAnsi="Times New Roman" w:cs="Times New Roman"/>
          <w:color w:val="000000"/>
          <w:sz w:val="24"/>
          <w:szCs w:val="24"/>
          <w:shd w:val="clear" w:color="auto" w:fill="FFFFFF"/>
          <w:lang w:eastAsia="pl-PL"/>
        </w:rPr>
        <w:tab/>
        <w:t>W wyniku przetargu nastąpi zbycie prawa własności do tej nieruchomości.</w:t>
      </w:r>
    </w:p>
    <w:p w:rsidR="00374974" w:rsidRDefault="00374974" w:rsidP="00374974">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74974" w:rsidRDefault="00374974" w:rsidP="00374974">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7.</w:t>
      </w:r>
      <w:r>
        <w:rPr>
          <w:rFonts w:ascii="Times New Roman" w:eastAsia="Times New Roman" w:hAnsi="Times New Roman" w:cs="Times New Roman"/>
          <w:color w:val="000000"/>
          <w:sz w:val="24"/>
          <w:szCs w:val="24"/>
          <w:shd w:val="clear" w:color="auto" w:fill="FFFFFF"/>
          <w:lang w:eastAsia="pl-PL"/>
        </w:rPr>
        <w:tab/>
        <w:t>Zobowiązania i obciążenia, których przedmiotem jest ta nieruchomość:</w:t>
      </w:r>
    </w:p>
    <w:p w:rsidR="00374974" w:rsidRDefault="00374974" w:rsidP="00374974">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w:t>
      </w:r>
      <w:r>
        <w:rPr>
          <w:rFonts w:ascii="Times New Roman" w:eastAsia="Times New Roman" w:hAnsi="Times New Roman" w:cs="Times New Roman"/>
          <w:color w:val="000000"/>
          <w:sz w:val="24"/>
          <w:szCs w:val="24"/>
          <w:shd w:val="clear" w:color="auto" w:fill="FFFFFF"/>
          <w:lang w:eastAsia="pl-PL"/>
        </w:rPr>
        <w:tab/>
        <w:t>nieruchomość jest wolna od obciążeń i zobowiązań.</w:t>
      </w:r>
    </w:p>
    <w:p w:rsidR="00374974" w:rsidRDefault="00374974" w:rsidP="00374974">
      <w:pPr>
        <w:tabs>
          <w:tab w:val="left" w:pos="0"/>
          <w:tab w:val="left" w:pos="36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374974" w:rsidRDefault="00374974" w:rsidP="00374974">
      <w:pPr>
        <w:tabs>
          <w:tab w:val="left" w:pos="567"/>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shd w:val="clear" w:color="auto" w:fill="FFFFFF"/>
          <w:lang w:eastAsia="pl-PL"/>
        </w:rPr>
        <w:lastRenderedPageBreak/>
        <w:t xml:space="preserve">8. </w:t>
      </w:r>
      <w:r>
        <w:rPr>
          <w:rFonts w:ascii="Times New Roman" w:eastAsia="Times New Roman" w:hAnsi="Times New Roman" w:cs="Times New Roman"/>
          <w:sz w:val="24"/>
          <w:szCs w:val="24"/>
          <w:shd w:val="clear" w:color="auto" w:fill="FFFFFF"/>
          <w:lang w:eastAsia="pl-PL"/>
        </w:rPr>
        <w:tab/>
        <w:t xml:space="preserve">Przetarg odbędzie się </w:t>
      </w:r>
      <w:r w:rsidR="00452AA9">
        <w:rPr>
          <w:rFonts w:ascii="Times New Roman" w:eastAsia="Times New Roman" w:hAnsi="Times New Roman" w:cs="Times New Roman"/>
          <w:b/>
          <w:bCs/>
          <w:sz w:val="24"/>
          <w:szCs w:val="24"/>
          <w:shd w:val="clear" w:color="auto" w:fill="FFFFFF"/>
          <w:lang w:eastAsia="pl-PL"/>
        </w:rPr>
        <w:t>w dniu 27</w:t>
      </w:r>
      <w:r>
        <w:rPr>
          <w:rFonts w:ascii="Times New Roman" w:eastAsia="Times New Roman" w:hAnsi="Times New Roman" w:cs="Times New Roman"/>
          <w:b/>
          <w:bCs/>
          <w:sz w:val="24"/>
          <w:szCs w:val="24"/>
          <w:shd w:val="clear" w:color="auto" w:fill="FFFFFF"/>
          <w:lang w:eastAsia="pl-PL"/>
        </w:rPr>
        <w:t xml:space="preserve"> września 2022r. o godzinie 9</w:t>
      </w:r>
      <w:r>
        <w:rPr>
          <w:rFonts w:ascii="Times New Roman" w:eastAsia="Times New Roman" w:hAnsi="Times New Roman" w:cs="Times New Roman"/>
          <w:b/>
          <w:bCs/>
          <w:sz w:val="24"/>
          <w:szCs w:val="24"/>
          <w:shd w:val="clear" w:color="auto" w:fill="FFFFFF"/>
          <w:vertAlign w:val="superscript"/>
          <w:lang w:eastAsia="pl-PL"/>
        </w:rPr>
        <w:t>00</w:t>
      </w:r>
      <w:r>
        <w:rPr>
          <w:rFonts w:ascii="Times New Roman" w:eastAsia="Times New Roman" w:hAnsi="Times New Roman" w:cs="Times New Roman"/>
          <w:sz w:val="24"/>
          <w:szCs w:val="24"/>
          <w:shd w:val="clear" w:color="auto" w:fill="FFFFFF"/>
          <w:lang w:eastAsia="pl-PL"/>
        </w:rPr>
        <w:t xml:space="preserve"> w siedzibie Urzędu Gminy Bestwina przy ul. Krakowska 111 (sala narad).</w:t>
      </w:r>
    </w:p>
    <w:p w:rsidR="00374974" w:rsidRDefault="00374974" w:rsidP="00374974">
      <w:pPr>
        <w:tabs>
          <w:tab w:val="left" w:pos="0"/>
          <w:tab w:val="left" w:pos="360"/>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p>
    <w:p w:rsidR="00374974" w:rsidRPr="00374974" w:rsidRDefault="00374974" w:rsidP="00374974">
      <w:pPr>
        <w:tabs>
          <w:tab w:val="left" w:pos="567"/>
        </w:tabs>
        <w:autoSpaceDE w:val="0"/>
        <w:autoSpaceDN w:val="0"/>
        <w:adjustRightInd w:val="0"/>
        <w:spacing w:after="0" w:line="240" w:lineRule="auto"/>
        <w:ind w:right="72"/>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sz w:val="24"/>
          <w:szCs w:val="24"/>
          <w:shd w:val="clear" w:color="auto" w:fill="FFFFFF"/>
          <w:lang w:eastAsia="pl-PL"/>
        </w:rPr>
        <w:t xml:space="preserve">9. </w:t>
      </w:r>
      <w:r>
        <w:rPr>
          <w:rFonts w:ascii="Times New Roman" w:eastAsia="Times New Roman" w:hAnsi="Times New Roman" w:cs="Times New Roman"/>
          <w:sz w:val="24"/>
          <w:szCs w:val="24"/>
          <w:shd w:val="clear" w:color="auto" w:fill="FFFFFF"/>
          <w:lang w:eastAsia="pl-PL"/>
        </w:rPr>
        <w:tab/>
        <w:t xml:space="preserve">Wadium w wysokości </w:t>
      </w:r>
      <w:r>
        <w:rPr>
          <w:rFonts w:ascii="Times New Roman" w:eastAsia="Times New Roman" w:hAnsi="Times New Roman" w:cs="Times New Roman"/>
          <w:b/>
          <w:bCs/>
          <w:sz w:val="24"/>
          <w:szCs w:val="24"/>
          <w:shd w:val="clear" w:color="auto" w:fill="FFFFFF"/>
          <w:lang w:eastAsia="pl-PL"/>
        </w:rPr>
        <w:t>16 000,- zł.</w:t>
      </w:r>
      <w:r>
        <w:rPr>
          <w:rFonts w:ascii="Times New Roman" w:eastAsia="Times New Roman" w:hAnsi="Times New Roman" w:cs="Times New Roman"/>
          <w:sz w:val="24"/>
          <w:szCs w:val="24"/>
          <w:shd w:val="clear" w:color="auto" w:fill="FFFFFF"/>
          <w:lang w:eastAsia="pl-PL"/>
        </w:rPr>
        <w:t xml:space="preserve"> (słownie: szesnaście tysięcy złotych) należy wpłacić do dnia </w:t>
      </w:r>
      <w:r w:rsidR="00452AA9">
        <w:rPr>
          <w:rFonts w:ascii="Times New Roman" w:eastAsia="Times New Roman" w:hAnsi="Times New Roman" w:cs="Times New Roman"/>
          <w:b/>
          <w:bCs/>
          <w:sz w:val="24"/>
          <w:szCs w:val="24"/>
          <w:shd w:val="clear" w:color="auto" w:fill="FFFFFF"/>
          <w:lang w:eastAsia="pl-PL"/>
        </w:rPr>
        <w:t>21</w:t>
      </w:r>
      <w:r>
        <w:rPr>
          <w:rFonts w:ascii="Times New Roman" w:eastAsia="Times New Roman" w:hAnsi="Times New Roman" w:cs="Times New Roman"/>
          <w:b/>
          <w:bCs/>
          <w:sz w:val="24"/>
          <w:szCs w:val="24"/>
          <w:shd w:val="clear" w:color="auto" w:fill="FFFFFF"/>
          <w:lang w:eastAsia="pl-PL"/>
        </w:rPr>
        <w:t xml:space="preserve"> września 2022r.</w:t>
      </w:r>
      <w:r>
        <w:rPr>
          <w:rFonts w:ascii="Times New Roman" w:eastAsia="Times New Roman" w:hAnsi="Times New Roman" w:cs="Times New Roman"/>
          <w:sz w:val="24"/>
          <w:szCs w:val="24"/>
          <w:shd w:val="clear" w:color="auto" w:fill="FFFFFF"/>
          <w:lang w:eastAsia="pl-PL"/>
        </w:rPr>
        <w:t xml:space="preserve"> przelewem na rachunek bankowy Urzędu Gminy Bestwina prowadzony przez Bank Spółdzielczy Czechowice-Dziedzice - Bestwina 16 8453 0002 0000 1720 2000 0010 lub w kasie Banku Spółdzielczego Bestwina. Liczy się data wpływu wadium na konto tut. Urzędu.</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10.</w:t>
      </w:r>
      <w:r>
        <w:rPr>
          <w:rFonts w:ascii="Times New Roman" w:eastAsia="Times New Roman" w:hAnsi="Times New Roman" w:cs="Times New Roman"/>
          <w:color w:val="000000"/>
          <w:sz w:val="24"/>
          <w:szCs w:val="24"/>
          <w:shd w:val="clear" w:color="auto" w:fill="FFFFFF"/>
          <w:lang w:eastAsia="pl-PL"/>
        </w:rPr>
        <w:tab/>
        <w:t>Wadium zostanie zwrócone niezwłocznie po odwołaniu lub zamknięciu przetargu, jednak nie później niż przed upływem 3 dni od dnia odwołania, zamknięcia, unieważnienia przetargu lub zakończenia przetargu z wynikiem negatywnym, na wskazany rachunek bankowy.</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11.</w:t>
      </w:r>
      <w:r>
        <w:rPr>
          <w:rFonts w:ascii="Times New Roman" w:eastAsia="Times New Roman" w:hAnsi="Times New Roman" w:cs="Times New Roman"/>
          <w:color w:val="000000"/>
          <w:sz w:val="24"/>
          <w:szCs w:val="24"/>
          <w:shd w:val="clear" w:color="auto" w:fill="FFFFFF"/>
          <w:lang w:eastAsia="pl-PL"/>
        </w:rPr>
        <w:tab/>
        <w:t>Wadium wniesione przez uczestnika, który wygrał przetarg zaliczone zostanie na poczet ceny nabycia nieruchomości.</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12.</w:t>
      </w:r>
      <w:r>
        <w:rPr>
          <w:rFonts w:ascii="Times New Roman" w:eastAsia="Times New Roman" w:hAnsi="Times New Roman" w:cs="Times New Roman"/>
          <w:color w:val="000000"/>
          <w:sz w:val="24"/>
          <w:szCs w:val="24"/>
          <w:shd w:val="clear" w:color="auto" w:fill="FFFFFF"/>
          <w:lang w:eastAsia="pl-PL"/>
        </w:rPr>
        <w:tab/>
        <w:t xml:space="preserve">Jeżeli osoba ustalona jako nabywca nieruchomości nie przystąpi bez usprawiedliwienia do zawarcia umowy w miejscu i terminie podanym w zawiadomieniu organizator przetargu może odstąpić od zawarcia umowy a wpłacone wadium nie podlega zwrotowi. </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13.</w:t>
      </w:r>
      <w:r>
        <w:rPr>
          <w:rFonts w:ascii="Times New Roman" w:eastAsia="Times New Roman" w:hAnsi="Times New Roman" w:cs="Times New Roman"/>
          <w:color w:val="000000"/>
          <w:sz w:val="24"/>
          <w:szCs w:val="24"/>
          <w:shd w:val="clear" w:color="auto" w:fill="FFFFFF"/>
          <w:lang w:eastAsia="pl-PL"/>
        </w:rPr>
        <w:tab/>
        <w:t>Cena nieruchomości osiągnięta w przetargu (pomniejszona o wpłacone wadium) płatna jest w całości, nie później niż do dnia zawarcia umowy przenoszącej własność (przed zawarciem umowy notarialnej). Przez spełnienie terminu płatności uważa się datę faktycznego wpływu należności na konto Urzędu Gminy Bestwina. Koszty zawarcia umowy notarialnej ponosi nabywca.</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14.</w:t>
      </w:r>
      <w:r>
        <w:rPr>
          <w:rFonts w:ascii="Times New Roman" w:eastAsia="Times New Roman" w:hAnsi="Times New Roman" w:cs="Times New Roman"/>
          <w:color w:val="000000"/>
          <w:sz w:val="24"/>
          <w:szCs w:val="24"/>
          <w:shd w:val="clear" w:color="auto" w:fill="FFFFFF"/>
          <w:lang w:eastAsia="pl-PL"/>
        </w:rPr>
        <w:tab/>
        <w:t>Organizator przetargu może odwołać przetarg z ważnych powodów lub unieważnić przetarg.</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eastAsia="pl-PL"/>
        </w:rPr>
      </w:pPr>
      <w:r>
        <w:rPr>
          <w:rFonts w:ascii="Times New Roman" w:eastAsia="Times New Roman" w:hAnsi="Times New Roman" w:cs="Times New Roman"/>
          <w:b/>
          <w:bCs/>
          <w:color w:val="000000"/>
          <w:sz w:val="24"/>
          <w:szCs w:val="24"/>
          <w:shd w:val="clear" w:color="auto" w:fill="FFFFFF"/>
          <w:lang w:eastAsia="pl-PL"/>
        </w:rPr>
        <w:t>Uczestnicy przetargu winni przedłożyć komisji przetargowej:</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shd w:val="clear" w:color="auto" w:fill="FFFFFF"/>
          <w:lang w:eastAsia="pl-PL"/>
        </w:rPr>
        <w:t xml:space="preserve">- dowód wpłaty wadium (oryginał) </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 dokument tożsamości, </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 aktualne dokumenty potwierdzające wpis do Centralnej Ewidencji i Informacji </w:t>
      </w:r>
      <w:r>
        <w:rPr>
          <w:rFonts w:ascii="Times New Roman" w:eastAsia="Times New Roman" w:hAnsi="Times New Roman" w:cs="Times New Roman"/>
          <w:color w:val="000000"/>
          <w:sz w:val="24"/>
          <w:szCs w:val="24"/>
          <w:shd w:val="clear" w:color="auto" w:fill="FFFFFF"/>
          <w:lang w:eastAsia="pl-PL"/>
        </w:rPr>
        <w:br/>
        <w:t xml:space="preserve">o Działalności Gospodarczej Rzeczpospolitej Polskiej lub Krajowego Rejestru Sądowego </w:t>
      </w:r>
      <w:r>
        <w:rPr>
          <w:rFonts w:ascii="Times New Roman" w:eastAsia="Times New Roman" w:hAnsi="Times New Roman" w:cs="Times New Roman"/>
          <w:color w:val="000000"/>
          <w:sz w:val="24"/>
          <w:szCs w:val="24"/>
          <w:shd w:val="clear" w:color="auto" w:fill="FFFFFF"/>
          <w:lang w:eastAsia="pl-PL"/>
        </w:rPr>
        <w:br/>
        <w:t>w przypadku, gdy uczestnikiem przetargu jest podmiot gospodarczy,</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 pełnomocnictwo notarialne do udziału w przetargu i reprezentowania osoby </w:t>
      </w:r>
      <w:proofErr w:type="spellStart"/>
      <w:r>
        <w:rPr>
          <w:rFonts w:ascii="Times New Roman" w:eastAsia="Times New Roman" w:hAnsi="Times New Roman" w:cs="Times New Roman"/>
          <w:color w:val="000000"/>
          <w:sz w:val="24"/>
          <w:szCs w:val="24"/>
          <w:shd w:val="clear" w:color="auto" w:fill="FFFFFF"/>
          <w:lang w:eastAsia="pl-PL"/>
        </w:rPr>
        <w:t>ubiegajacej</w:t>
      </w:r>
      <w:proofErr w:type="spellEnd"/>
      <w:r>
        <w:rPr>
          <w:rFonts w:ascii="Times New Roman" w:eastAsia="Times New Roman" w:hAnsi="Times New Roman" w:cs="Times New Roman"/>
          <w:color w:val="000000"/>
          <w:sz w:val="24"/>
          <w:szCs w:val="24"/>
          <w:shd w:val="clear" w:color="auto" w:fill="FFFFFF"/>
          <w:lang w:eastAsia="pl-PL"/>
        </w:rPr>
        <w:t xml:space="preserve"> się o nabycie nieruchomości,</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 oświadczenie, że oferent zapoznał się z warunkami przetargu i dokumentacją przedmiotowej nieruchomości i przyjmuje ją bez zastrzeżeń, </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oświadczenie, że oferent zapoznał się ze stanem faktycznym i prawnym nieruchomości i nie</w:t>
      </w:r>
      <w:r>
        <w:rPr>
          <w:rFonts w:ascii="Times New Roman" w:eastAsia="Times New Roman" w:hAnsi="Times New Roman" w:cs="Times New Roman"/>
          <w:color w:val="000000"/>
          <w:sz w:val="24"/>
          <w:szCs w:val="24"/>
          <w:shd w:val="clear" w:color="auto" w:fill="FFFFFF"/>
          <w:lang w:eastAsia="pl-PL"/>
        </w:rPr>
        <w:br/>
        <w:t xml:space="preserve"> wnosi zastrzeżeń,</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w przypadku osób pozostających w związku małżeńskim posiadających ustawową wspólność małżeńską do udziału w przetargu wymagana jest obecność obojga małżonków. W przypadku uczestnictwa w przetargu jednego małżonka należy przedłożyć pisemne oświadczenie współmałżonka o wyrażeniu zgody na przystąpienie małżonka do  przetargu z zamiarem nabycia nieruchomości będącej przedmiotem przetargu ze środków pochodzących z majątku wspólnego za cenę ustaloną w przetargu.</w:t>
      </w:r>
    </w:p>
    <w:p w:rsidR="00374974" w:rsidRDefault="00374974" w:rsidP="00374974">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74974" w:rsidRDefault="00374974" w:rsidP="00374974">
      <w:pPr>
        <w:tabs>
          <w:tab w:val="left" w:pos="0"/>
          <w:tab w:val="left" w:pos="360"/>
        </w:tabs>
        <w:autoSpaceDE w:val="0"/>
        <w:autoSpaceDN w:val="0"/>
        <w:adjustRightInd w:val="0"/>
        <w:spacing w:after="0" w:line="240" w:lineRule="auto"/>
        <w:ind w:right="62"/>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Cudzoziemców nabywających nieruchomości wiążą przepisy ustawy</w:t>
      </w:r>
      <w:r>
        <w:rPr>
          <w:rFonts w:ascii="Times New Roman" w:eastAsia="Times New Roman" w:hAnsi="Times New Roman" w:cs="Times New Roman"/>
          <w:b/>
          <w:bCs/>
          <w:color w:val="000000"/>
          <w:sz w:val="24"/>
          <w:szCs w:val="24"/>
          <w:shd w:val="clear" w:color="auto" w:fill="FFFFFF"/>
          <w:lang w:eastAsia="pl-PL"/>
        </w:rPr>
        <w:t xml:space="preserve"> </w:t>
      </w:r>
      <w:r>
        <w:rPr>
          <w:rFonts w:ascii="Times New Roman" w:eastAsia="Times New Roman" w:hAnsi="Times New Roman" w:cs="Times New Roman"/>
          <w:color w:val="000000"/>
          <w:sz w:val="24"/>
          <w:szCs w:val="24"/>
          <w:shd w:val="clear" w:color="auto" w:fill="FFFFFF"/>
          <w:lang w:eastAsia="pl-PL"/>
        </w:rPr>
        <w:t>z dnia 24 marca 1920r. o nabywaniu nieruchomości przez cudzoziemców (Dz.U. z 2017r., poz. 2278).</w:t>
      </w:r>
    </w:p>
    <w:p w:rsidR="00374974" w:rsidRDefault="00374974" w:rsidP="00374974">
      <w:pPr>
        <w:tabs>
          <w:tab w:val="left" w:pos="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167EA9" w:rsidRPr="00374974" w:rsidRDefault="00374974" w:rsidP="00374974">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Wszelkich informacji związanych z przetargiem udziela Kierownik Referatu Gospodarki Przestrzennej i Inwestycji Urzędu Gminy w Bestwinie tel. 32 215-77-18.</w:t>
      </w:r>
    </w:p>
    <w:sectPr w:rsidR="00167EA9" w:rsidRPr="00374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04715"/>
    <w:multiLevelType w:val="hybridMultilevel"/>
    <w:tmpl w:val="587E44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DE"/>
    <w:rsid w:val="00167EA9"/>
    <w:rsid w:val="00197DA0"/>
    <w:rsid w:val="00374974"/>
    <w:rsid w:val="00452AA9"/>
    <w:rsid w:val="008313B3"/>
    <w:rsid w:val="009B48B3"/>
    <w:rsid w:val="00CD62D4"/>
    <w:rsid w:val="00F23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9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4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9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GabrielaZ</dc:creator>
  <cp:lastModifiedBy>GabrielaZ</cp:lastModifiedBy>
  <cp:revision>2</cp:revision>
  <dcterms:created xsi:type="dcterms:W3CDTF">2022-08-24T08:03:00Z</dcterms:created>
  <dcterms:modified xsi:type="dcterms:W3CDTF">2022-08-24T08:03:00Z</dcterms:modified>
</cp:coreProperties>
</file>